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9" w:type="pct"/>
        <w:tblCellSpacing w:w="0" w:type="dxa"/>
        <w:tblInd w:w="-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B56F14" w:rsidRPr="001C7242" w:rsidTr="00B56F14">
        <w:trPr>
          <w:trHeight w:val="16705"/>
          <w:tblCellSpacing w:w="0" w:type="dxa"/>
        </w:trPr>
        <w:tc>
          <w:tcPr>
            <w:tcW w:w="10632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bookmarkStart w:id="0" w:name="_GoBack"/>
            <w:r w:rsidRPr="001C7242"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  <w:t>Организации по противодействию терроризму в Российской Федерации</w:t>
            </w:r>
            <w:bookmarkEnd w:id="0"/>
          </w:p>
          <w:p w:rsidR="00B56F14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</w:pP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Законодательная база по противодействию терроризму в России определяется законом </w:t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«О противодействии терроризму»,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принятым государственной думой в 2006 году. Данный закон позволил создать государственную систему, регулирующую деятельность всех организаций, занятых в борьбе с терроризмом.</w:t>
            </w: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Основные полномочия по противодействию терроризму в России ложатся на плечи </w:t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Федеральной службы безопасности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, которая может привлекать для борьбы с террористами ВС РФ, что дает ей возможность осуществлять </w:t>
            </w:r>
            <w:proofErr w:type="gramStart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 воздушным пространством и воздушными судами, захваченными террористами. По решению президента России, военные могут быть привлечены для ударов по базам террористов за рубежом, что сейчас и происходит в Сирии.</w:t>
            </w: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Директор Федеральной службы безопасности возглавляет Национальный антитеррористический комитет и является его председателем.</w:t>
            </w: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04040"/>
                <w:sz w:val="27"/>
                <w:szCs w:val="27"/>
                <w:lang w:eastAsia="ru-RU"/>
              </w:rPr>
              <w:drawing>
                <wp:inline distT="0" distB="0" distL="0" distR="0" wp14:anchorId="4A4CFF2D" wp14:editId="06E636D8">
                  <wp:extent cx="4768850" cy="1350645"/>
                  <wp:effectExtent l="0" t="0" r="0" b="1905"/>
                  <wp:docPr id="1" name="Рисунок 1" descr="https://schkola-internatkolivan.edusite.ru/images/logo_nac_rus_3-1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kola-internatkolivan.edusite.ru/images/logo_nac_rus_3-1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Национальный антитеррористический комитет (НАК)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был образован Указом Президента Российской Федерации от 15 февраля 2006 г. №116 «О мерах по противодействию терроризму». По своей структуре НАК является коллегиальным органом, который обеспечивает координацию между федеральными органами исполнительной власти, органами исполнительной власти субъектов РФ и органов местного самоуправления, занимающихся противодействием терроризму.</w:t>
            </w: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Структурно НАК состоит из трех управлений и информационного центра НАК. </w:t>
            </w:r>
            <w:proofErr w:type="gramStart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Управление координации деятельности по профилактике терроризма занимается вопросами общегосударственных мер по профилактике терроризма, в частности: нормативно-правовой базы в области противодействия терроризму, защищенности населения и критически важных объектов, противодействию финансированию терроризма, ликвидации и минимизации последствий террористических актов, реабилитацией  лиц, пострадавших от террористических актов, координацией и контролем деятельности антитеррористических комиссий в субъектах РФ и задачами международного сотрудничества в области противодействия терроризму.</w:t>
            </w:r>
            <w:proofErr w:type="gramEnd"/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Управление координации деятельности по борьбе с терроризмом занимается вопросами организации оперативного реагирования на террористические угрозы, планированием применения сил и средств оперативных штабов при проведении контртеррористических операций, организацией оперативно-тактических и командно-штабных учений по пресечению террористических актов, а также организацией оперативно-тактических и командно-штабных учений по пресечению террористических актов. Помимо этого в обязанности данного управления входит организационное обеспечение Федерального оперативного штаба</w:t>
            </w:r>
            <w:r w:rsidRPr="001C7242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</w:r>
            <w:r w:rsidRPr="001C7242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Информационно-аналитическое управление 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занимается аналитической 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lastRenderedPageBreak/>
              <w:t>деятельностью в сфере противодействия терроризму, разработкой и сопровождением автоматизированных информационных систем в сфере противодействия терроризму. В 2009-2013 гг. в обязанности данного управления входило управление реализацией федеральной целевой программы </w:t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"Антитеррор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". </w:t>
            </w:r>
            <w:proofErr w:type="gramStart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В обязанности информационного центра НАК входит обеспечение функционирования системы оперативного информирования населения через СМИ о принимаемых мерах при совершении (угрозе совершения) террористического акта, а также иных преступлений террористической направленности,  организация взаимодействия со СМИ в области информационно-пропагандистского сопровождения деятельности НАК, противодействие распространению среди населения искаженной или недостоверной (ложной) информации о преступлениях террористической направленности и событиях в области противодействия терроризму, организационное и</w:t>
            </w:r>
            <w:proofErr w:type="gramEnd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 информационно-аналитическое обеспечение функционирования Межведомственной группы по информационному сопровождению деятельности НАК.</w:t>
            </w: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Помимо ФСБ и НАК, вопросами противодействия терроризму занимаются межгосударственные структуры, например, </w:t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аналитическая ассоциация ОДКБ. 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Она предназначена для разработки мероприятий и стратегии скоординированной информационной политики в интересах государств – членов организации, информационно-аналитической поддержки решений глав государств – членов ОДКБ, налаживания деловых контактов, обмена информацией, проведения экспертного и ситуационного анализа и для более тесного взаимодействия в рамках ОДКБ. Решение о создании ассоциации было принято 11 марта 2013 года на заседании первого семинара-совещания с руководителями информационно-аналитических структур государств-членов ОДКБ.</w:t>
            </w:r>
          </w:p>
          <w:p w:rsidR="00B56F14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Еще одной межгосударственной организацией в сферу </w:t>
            </w:r>
            <w:proofErr w:type="gramStart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деятельности</w:t>
            </w:r>
            <w:proofErr w:type="gramEnd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 xml:space="preserve"> которой входит противодействие терроризму является </w:t>
            </w:r>
            <w:r w:rsidRPr="001C7242">
              <w:rPr>
                <w:rFonts w:ascii="Arial" w:eastAsia="Times New Roman" w:hAnsi="Arial" w:cs="Arial"/>
                <w:b/>
                <w:bCs/>
                <w:color w:val="404040"/>
                <w:sz w:val="27"/>
                <w:szCs w:val="27"/>
                <w:lang w:eastAsia="ru-RU"/>
              </w:rPr>
              <w:t>Антитеррористический центр государств - участников Содружества независимых государств (АТЦ СНГ), </w:t>
            </w: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созданный решением Совета глав государств СНГ от 21 июня 2000 года, является постоянно действующим специализированным отраслевым органом Содружества независимых государств и предназначен для обеспечения координации взаимодействия компетентных органов государств - участников СНГ в области борьбы с международным терроризмом и иными проявлениями экстремизма. Правовой статус, основные задачи, функции, состав и организационные основы деятельности АТЦ СНГ определяются Положением об Антитеррористическом центре государств - участников Содружества независимых государств, утвержденным Решением Совета глав государств СНГ от 1 декабря 2000 г. Общее руководство работой Центра осуществляет Совет руководителей органов безопасности и специальных служб государств - участников СНГ (СОРБ). С ноября 2006 года в соответствии с решениями Совета глав государств  его возглавляет генерал-полковник полиции Новиков Андрей Петрович.</w:t>
            </w:r>
          </w:p>
          <w:p w:rsidR="001C7242" w:rsidRPr="001C7242" w:rsidRDefault="00B56F14" w:rsidP="00821A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Основным документом, определяющим спектр задач для АТЦ СНГ, является Программа сотрудничества государств-участников Содружества независимых госуда</w:t>
            </w:r>
            <w:proofErr w:type="gramStart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рств в б</w:t>
            </w:r>
            <w:proofErr w:type="gramEnd"/>
            <w:r w:rsidRPr="001C7242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орьбе с терроризмом и иными насильственными проявлениями экстремизма.</w:t>
            </w:r>
          </w:p>
        </w:tc>
        <w:tc>
          <w:tcPr>
            <w:tcW w:w="0" w:type="auto"/>
            <w:vAlign w:val="center"/>
            <w:hideMark/>
          </w:tcPr>
          <w:p w:rsidR="00B56F14" w:rsidRPr="001C7242" w:rsidRDefault="00B56F14" w:rsidP="0082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6F14" w:rsidRDefault="00B56F14" w:rsidP="00B56F14"/>
    <w:p w:rsidR="007D45CA" w:rsidRDefault="007D45CA"/>
    <w:sectPr w:rsidR="007D45CA" w:rsidSect="00B56F1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14"/>
    <w:rsid w:val="007D45CA"/>
    <w:rsid w:val="00B5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2020-10-15T09:56:00Z</dcterms:created>
  <dcterms:modified xsi:type="dcterms:W3CDTF">2020-10-15T09:57:00Z</dcterms:modified>
</cp:coreProperties>
</file>